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FC5E2B" w:rsidP="00763EBA">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Idiopathic Thrombocytopenic Purpura</w:t>
      </w:r>
    </w:p>
    <w:p w:rsidR="00763EBA" w:rsidRDefault="00FC5E2B" w:rsidP="00763EB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763EBA" w:rsidRDefault="00FC5E2B" w:rsidP="00763EB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763EBA" w:rsidRDefault="00FC5E2B" w:rsidP="00763EB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63EBA" w:rsidRDefault="00763EBA" w:rsidP="00763EBA">
      <w:pPr>
        <w:jc w:val="cente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763EBA" w:rsidRDefault="00763EBA">
      <w:pPr>
        <w:rPr>
          <w:b/>
          <w:bCs/>
        </w:rPr>
      </w:pPr>
    </w:p>
    <w:p w:rsidR="00E65337" w:rsidRPr="00763EBA" w:rsidRDefault="00FC5E2B" w:rsidP="00763EBA">
      <w:pPr>
        <w:spacing w:after="0" w:line="480" w:lineRule="auto"/>
        <w:ind w:firstLine="851"/>
        <w:jc w:val="center"/>
        <w:rPr>
          <w:rFonts w:ascii="Times New Roman" w:hAnsi="Times New Roman" w:cs="Times New Roman"/>
          <w:b/>
          <w:bCs/>
          <w:color w:val="000000" w:themeColor="text1"/>
          <w:sz w:val="24"/>
          <w:szCs w:val="24"/>
        </w:rPr>
      </w:pPr>
      <w:r w:rsidRPr="00763EBA">
        <w:rPr>
          <w:rFonts w:ascii="Times New Roman" w:hAnsi="Times New Roman" w:cs="Times New Roman"/>
          <w:b/>
          <w:bCs/>
          <w:color w:val="000000" w:themeColor="text1"/>
          <w:sz w:val="24"/>
          <w:szCs w:val="24"/>
        </w:rPr>
        <w:lastRenderedPageBreak/>
        <w:t>Idiopathic Thrombocytopenic Purpura</w:t>
      </w:r>
    </w:p>
    <w:p w:rsidR="00E65337"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Idiopathic thrombocytopenic purpura (an autoimmune disorder) is a condition that is characterized by poor clotting of blood. The condition is commonly known as immune thrombocytopenia (ITP). The disease influences excessive bleeding and bruising. The abnormal level of thrombocytes leads to the condition. Globally, more than 200,000 people are diagnosed with the conditions annually. In the USA, the ITP is estimated to affect 3 individuals per 100,000 adults annually. At any time, the estimated prevalence of the disease is 9.5 cases per 100,000 individuals. </w:t>
      </w:r>
      <w:r w:rsidR="00CC59CF" w:rsidRPr="00763EBA">
        <w:rPr>
          <w:rFonts w:ascii="Times New Roman" w:hAnsi="Times New Roman" w:cs="Times New Roman"/>
          <w:color w:val="000000" w:themeColor="text1"/>
          <w:sz w:val="24"/>
          <w:szCs w:val="24"/>
        </w:rPr>
        <w:t>5.3 cases per 100,000 children are reported annually</w:t>
      </w:r>
      <w:r w:rsidR="007067F9" w:rsidRPr="00763EBA">
        <w:rPr>
          <w:rFonts w:ascii="Times New Roman" w:hAnsi="Times New Roman" w:cs="Times New Roman"/>
          <w:color w:val="000000" w:themeColor="text1"/>
          <w:sz w:val="24"/>
          <w:szCs w:val="24"/>
        </w:rPr>
        <w:t xml:space="preserve"> (Salama &amp; Alwels, 2019)</w:t>
      </w:r>
      <w:r w:rsidR="00CC59CF" w:rsidRPr="00763EBA">
        <w:rPr>
          <w:rFonts w:ascii="Times New Roman" w:hAnsi="Times New Roman" w:cs="Times New Roman"/>
          <w:color w:val="000000" w:themeColor="text1"/>
          <w:sz w:val="24"/>
          <w:szCs w:val="24"/>
        </w:rPr>
        <w:t xml:space="preserve">. The disease is more common among people over the age of 60 years. Therefore, it is a disease of public health importance and its treatment is significant to enhance control of the incidences. </w:t>
      </w:r>
    </w:p>
    <w:p w:rsidR="00CC59CF" w:rsidRPr="00763EBA" w:rsidRDefault="00FC5E2B" w:rsidP="00763EBA">
      <w:pPr>
        <w:spacing w:after="0" w:line="480" w:lineRule="auto"/>
        <w:ind w:firstLine="851"/>
        <w:jc w:val="center"/>
        <w:rPr>
          <w:rFonts w:ascii="Times New Roman" w:hAnsi="Times New Roman" w:cs="Times New Roman"/>
          <w:b/>
          <w:bCs/>
          <w:color w:val="000000" w:themeColor="text1"/>
          <w:sz w:val="24"/>
          <w:szCs w:val="24"/>
        </w:rPr>
      </w:pPr>
      <w:r w:rsidRPr="00763EBA">
        <w:rPr>
          <w:rFonts w:ascii="Times New Roman" w:hAnsi="Times New Roman" w:cs="Times New Roman"/>
          <w:b/>
          <w:bCs/>
          <w:color w:val="000000" w:themeColor="text1"/>
          <w:sz w:val="24"/>
          <w:szCs w:val="24"/>
        </w:rPr>
        <w:t>Pathophysiology</w:t>
      </w:r>
    </w:p>
    <w:p w:rsidR="00CC59CF"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ITP is a condition that is </w:t>
      </w:r>
      <w:r w:rsidR="00B87031" w:rsidRPr="00763EBA">
        <w:rPr>
          <w:rFonts w:ascii="Times New Roman" w:hAnsi="Times New Roman" w:cs="Times New Roman"/>
          <w:color w:val="000000" w:themeColor="text1"/>
          <w:sz w:val="24"/>
          <w:szCs w:val="24"/>
        </w:rPr>
        <w:t xml:space="preserve">characterized by the destruction of platelets leading to thrombocytopenia. Various issues are connected to the development of the disease. These mechanisms enhance the initiation of platelets' destruction, maintenance, and acceleration of the destruction. The spleen is the organ that is linked to the initiation of platelet destruction. Various studies that examined the role of the spleen in platelet destruction revealed lipid-laden (sea blue) histiocytes in the spleen which suggested the spleen takes part in the destruction of platelets in the pathogenesis of ITP. More so, the antiplatelets factor is linked to the course of ITP. Plasma-derived antiplatelets induce the infusion of plasma which causes thrombocytopenia in ITP. Autoimmunity is another process that explains </w:t>
      </w:r>
      <w:r w:rsidR="00330CC1" w:rsidRPr="00763EBA">
        <w:rPr>
          <w:rFonts w:ascii="Times New Roman" w:hAnsi="Times New Roman" w:cs="Times New Roman"/>
          <w:color w:val="000000" w:themeColor="text1"/>
          <w:sz w:val="24"/>
          <w:szCs w:val="24"/>
        </w:rPr>
        <w:t xml:space="preserve">the destruction of platelets in ITP. Autoimmune reactions </w:t>
      </w:r>
      <w:r w:rsidR="00901B98" w:rsidRPr="00763EBA">
        <w:rPr>
          <w:rFonts w:ascii="Times New Roman" w:hAnsi="Times New Roman" w:cs="Times New Roman"/>
          <w:color w:val="000000" w:themeColor="text1"/>
          <w:sz w:val="24"/>
          <w:szCs w:val="24"/>
        </w:rPr>
        <w:t>enhance</w:t>
      </w:r>
      <w:r w:rsidR="00330CC1" w:rsidRPr="00763EBA">
        <w:rPr>
          <w:rFonts w:ascii="Times New Roman" w:hAnsi="Times New Roman" w:cs="Times New Roman"/>
          <w:color w:val="000000" w:themeColor="text1"/>
          <w:sz w:val="24"/>
          <w:szCs w:val="24"/>
        </w:rPr>
        <w:t xml:space="preserve"> the breakdown of platelets because they are viewed as antigens</w:t>
      </w:r>
      <w:r w:rsidR="00C42F8B" w:rsidRPr="00763EBA">
        <w:rPr>
          <w:rFonts w:ascii="Times New Roman" w:hAnsi="Times New Roman" w:cs="Times New Roman"/>
          <w:color w:val="000000" w:themeColor="text1"/>
          <w:sz w:val="24"/>
          <w:szCs w:val="24"/>
        </w:rPr>
        <w:t xml:space="preserve"> which </w:t>
      </w:r>
      <w:r w:rsidR="00330CC1" w:rsidRPr="00763EBA">
        <w:rPr>
          <w:rFonts w:ascii="Times New Roman" w:hAnsi="Times New Roman" w:cs="Times New Roman"/>
          <w:color w:val="000000" w:themeColor="text1"/>
          <w:sz w:val="24"/>
          <w:szCs w:val="24"/>
        </w:rPr>
        <w:t>lead to thrombocytopenia</w:t>
      </w:r>
      <w:r w:rsidR="007067F9" w:rsidRPr="00763EBA">
        <w:rPr>
          <w:rFonts w:ascii="Times New Roman" w:hAnsi="Times New Roman" w:cs="Times New Roman"/>
          <w:color w:val="000000" w:themeColor="text1"/>
          <w:sz w:val="24"/>
          <w:szCs w:val="24"/>
        </w:rPr>
        <w:t xml:space="preserve"> (Zufferey, Kapur &amp; Semple, 2017)</w:t>
      </w:r>
      <w:r w:rsidR="00330CC1" w:rsidRPr="00763EBA">
        <w:rPr>
          <w:rFonts w:ascii="Times New Roman" w:hAnsi="Times New Roman" w:cs="Times New Roman"/>
          <w:color w:val="000000" w:themeColor="text1"/>
          <w:sz w:val="24"/>
          <w:szCs w:val="24"/>
        </w:rPr>
        <w:t xml:space="preserve">. </w:t>
      </w:r>
      <w:r w:rsidR="00952EC9" w:rsidRPr="00763EBA">
        <w:rPr>
          <w:rFonts w:ascii="Times New Roman" w:hAnsi="Times New Roman" w:cs="Times New Roman"/>
          <w:color w:val="000000" w:themeColor="text1"/>
          <w:sz w:val="24"/>
          <w:szCs w:val="24"/>
        </w:rPr>
        <w:t xml:space="preserve">Platelet destruction is linked to increased impacts of antibodies against their glycoprotein membranes which are from the IgG (immunoglobulin G) type. The presence of IgG coating </w:t>
      </w:r>
      <w:r w:rsidR="00952EC9" w:rsidRPr="00763EBA">
        <w:rPr>
          <w:rFonts w:ascii="Times New Roman" w:hAnsi="Times New Roman" w:cs="Times New Roman"/>
          <w:color w:val="000000" w:themeColor="text1"/>
          <w:sz w:val="24"/>
          <w:szCs w:val="24"/>
        </w:rPr>
        <w:lastRenderedPageBreak/>
        <w:t xml:space="preserve">influences the susceptibility of platelets to Kupffer cells located in the liver and phagocytes from the splenic macrophages which leads to phagocytosis and opsonization. </w:t>
      </w:r>
      <w:r w:rsidR="002B343E" w:rsidRPr="00763EBA">
        <w:rPr>
          <w:rFonts w:ascii="Times New Roman" w:hAnsi="Times New Roman" w:cs="Times New Roman"/>
          <w:color w:val="000000" w:themeColor="text1"/>
          <w:sz w:val="24"/>
          <w:szCs w:val="24"/>
        </w:rPr>
        <w:t>The IgG antibodies also enhance the damage of megakaryocytes which are precursor cells of platelets. Recent studies reveal that impaired production of thrombopoietin which enhances the production of platelets contributes to the diminished number of platelets in circulation. However, the stimulants of auto-antibody in ITP is the presence of abnormal T cells activities</w:t>
      </w:r>
      <w:r w:rsidR="007067F9" w:rsidRPr="00763EBA">
        <w:rPr>
          <w:rFonts w:ascii="Times New Roman" w:hAnsi="Times New Roman" w:cs="Times New Roman"/>
          <w:color w:val="000000" w:themeColor="text1"/>
          <w:sz w:val="24"/>
          <w:szCs w:val="24"/>
        </w:rPr>
        <w:t xml:space="preserve"> (Zufferey, Kapur &amp; Semple, 2017)</w:t>
      </w:r>
      <w:r w:rsidR="002B343E" w:rsidRPr="00763EBA">
        <w:rPr>
          <w:rFonts w:ascii="Times New Roman" w:hAnsi="Times New Roman" w:cs="Times New Roman"/>
          <w:color w:val="000000" w:themeColor="text1"/>
          <w:sz w:val="24"/>
          <w:szCs w:val="24"/>
        </w:rPr>
        <w:t xml:space="preserve">. T cell activities can be enhanced by the administration of medications that targets the B cell (medications such as rituximab). The signs and symptoms of ITP include purple skin color, red clots under the skin, nose bleeding, bleeding gums, heavy flow during the menstrual period, blood in the stool, hematuria, and hematemesis, and intracranial bleeding (life-threatening hemorrhage). </w:t>
      </w:r>
    </w:p>
    <w:p w:rsidR="002B343E" w:rsidRPr="00763EBA" w:rsidRDefault="00FC5E2B" w:rsidP="00763EBA">
      <w:pPr>
        <w:spacing w:after="0" w:line="480" w:lineRule="auto"/>
        <w:ind w:firstLine="851"/>
        <w:jc w:val="center"/>
        <w:rPr>
          <w:rFonts w:ascii="Times New Roman" w:hAnsi="Times New Roman" w:cs="Times New Roman"/>
          <w:b/>
          <w:bCs/>
          <w:color w:val="000000" w:themeColor="text1"/>
          <w:sz w:val="24"/>
          <w:szCs w:val="24"/>
        </w:rPr>
      </w:pPr>
      <w:r w:rsidRPr="00763EBA">
        <w:rPr>
          <w:rFonts w:ascii="Times New Roman" w:hAnsi="Times New Roman" w:cs="Times New Roman"/>
          <w:b/>
          <w:bCs/>
          <w:color w:val="000000" w:themeColor="text1"/>
          <w:sz w:val="24"/>
          <w:szCs w:val="24"/>
        </w:rPr>
        <w:t>Diagnostic Tests</w:t>
      </w:r>
    </w:p>
    <w:p w:rsidR="002B343E"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Complete blood count- this test evaluates the maturity, number, and size of white blood cells, red blood cells, and platelets per the volume of blood. The test is significant in ITP as it enhances the evaluation of the number of platelets in the volume of blood. The number of platelets will reveal the presence of thrombocytopenia which will help in the diagnosis of ITP. The expected </w:t>
      </w:r>
      <w:r w:rsidR="00553FEE" w:rsidRPr="00763EBA">
        <w:rPr>
          <w:rFonts w:ascii="Times New Roman" w:hAnsi="Times New Roman" w:cs="Times New Roman"/>
          <w:color w:val="000000" w:themeColor="text1"/>
          <w:sz w:val="24"/>
          <w:szCs w:val="24"/>
        </w:rPr>
        <w:t>values for red cells, hemoglobin, and white blood cells are normal. However, the platelet counts are expected to be less than 100,000/ microliter of blood</w:t>
      </w:r>
      <w:r w:rsidR="007067F9" w:rsidRPr="00763EBA">
        <w:rPr>
          <w:rFonts w:ascii="Times New Roman" w:hAnsi="Times New Roman" w:cs="Times New Roman"/>
          <w:color w:val="000000" w:themeColor="text1"/>
          <w:sz w:val="24"/>
          <w:szCs w:val="24"/>
        </w:rPr>
        <w:t xml:space="preserve"> (Zufferey, Kapur &amp; Semple, 2017)</w:t>
      </w:r>
      <w:r w:rsidR="00553FEE" w:rsidRPr="00763EBA">
        <w:rPr>
          <w:rFonts w:ascii="Times New Roman" w:hAnsi="Times New Roman" w:cs="Times New Roman"/>
          <w:color w:val="000000" w:themeColor="text1"/>
          <w:sz w:val="24"/>
          <w:szCs w:val="24"/>
        </w:rPr>
        <w:t xml:space="preserve">. However, microcytic anemia can be detected if there is hemorrhage. The presence of infection in ITP can be revealed by increased white blood cells for bacterial infection while the low count for viral ailments. </w:t>
      </w:r>
    </w:p>
    <w:p w:rsidR="00553FEE"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Urine tests- the purpose of urine test is to detect hematuria and infections. The presence of blood in urine may indicate hemorrhage which is the main presentation in ITP. </w:t>
      </w:r>
    </w:p>
    <w:p w:rsidR="00553FEE"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Antiplatelets antibody test- this is a test that evaluates the cause of thrombocytopenia. The tests detect the presence of platelet antibodies in the blood to </w:t>
      </w:r>
      <w:r w:rsidRPr="00763EBA">
        <w:rPr>
          <w:rFonts w:ascii="Times New Roman" w:hAnsi="Times New Roman" w:cs="Times New Roman"/>
          <w:color w:val="000000" w:themeColor="text1"/>
          <w:sz w:val="24"/>
          <w:szCs w:val="24"/>
        </w:rPr>
        <w:lastRenderedPageBreak/>
        <w:t>determine their impact in enhancing low platelet counts</w:t>
      </w:r>
      <w:r w:rsidR="007067F9" w:rsidRPr="00763EBA">
        <w:rPr>
          <w:rFonts w:ascii="Times New Roman" w:hAnsi="Times New Roman" w:cs="Times New Roman"/>
          <w:color w:val="000000" w:themeColor="text1"/>
          <w:sz w:val="24"/>
          <w:szCs w:val="24"/>
        </w:rPr>
        <w:t xml:space="preserve"> (Zufferey, Kapur &amp; Semple, 2017)</w:t>
      </w:r>
      <w:r w:rsidRPr="00763EBA">
        <w:rPr>
          <w:rFonts w:ascii="Times New Roman" w:hAnsi="Times New Roman" w:cs="Times New Roman"/>
          <w:color w:val="000000" w:themeColor="text1"/>
          <w:sz w:val="24"/>
          <w:szCs w:val="24"/>
        </w:rPr>
        <w:t xml:space="preserve">. This test is significant in understanding the course of ITP influenced by antibodies. The expected result is that there will be a presence of platelets antibodies in the blood which influences the destruction of platelets leading to thrombocytopenia. </w:t>
      </w:r>
    </w:p>
    <w:p w:rsidR="00DF13C0"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Bone marrow aspiration- this test evaluates the production of platelets </w:t>
      </w:r>
      <w:r w:rsidR="00082A8A" w:rsidRPr="00763EBA">
        <w:rPr>
          <w:rFonts w:ascii="Times New Roman" w:hAnsi="Times New Roman" w:cs="Times New Roman"/>
          <w:color w:val="000000" w:themeColor="text1"/>
          <w:sz w:val="24"/>
          <w:szCs w:val="24"/>
        </w:rPr>
        <w:t xml:space="preserve">and rules out abnormal blood cells that are produced by the bone marrow which leads to low platelets count. This test is significant to realize the pathophysiology of ITP as influenced by the bone marrow in the production of abnormal platelets. </w:t>
      </w:r>
    </w:p>
    <w:p w:rsidR="0020205B" w:rsidRPr="00763EBA" w:rsidRDefault="00FC5E2B" w:rsidP="00763EBA">
      <w:pPr>
        <w:spacing w:after="0" w:line="480" w:lineRule="auto"/>
        <w:ind w:firstLine="851"/>
        <w:jc w:val="center"/>
        <w:rPr>
          <w:rFonts w:ascii="Times New Roman" w:hAnsi="Times New Roman" w:cs="Times New Roman"/>
          <w:b/>
          <w:bCs/>
          <w:color w:val="000000" w:themeColor="text1"/>
          <w:sz w:val="24"/>
          <w:szCs w:val="24"/>
        </w:rPr>
      </w:pPr>
      <w:r w:rsidRPr="00763EBA">
        <w:rPr>
          <w:rFonts w:ascii="Times New Roman" w:hAnsi="Times New Roman" w:cs="Times New Roman"/>
          <w:b/>
          <w:bCs/>
          <w:color w:val="000000" w:themeColor="text1"/>
          <w:sz w:val="24"/>
          <w:szCs w:val="24"/>
        </w:rPr>
        <w:t>Treatment</w:t>
      </w:r>
    </w:p>
    <w:p w:rsidR="0020205B"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Steroids- this is a group of medications that enhance the reduction of platelet destruction. Effective treatment with steroids enhances increased platelet count within 2-3 weeks</w:t>
      </w:r>
      <w:r w:rsidR="007067F9" w:rsidRPr="00763EBA">
        <w:rPr>
          <w:rFonts w:ascii="Times New Roman" w:hAnsi="Times New Roman" w:cs="Times New Roman"/>
          <w:color w:val="000000" w:themeColor="text1"/>
          <w:sz w:val="24"/>
          <w:szCs w:val="24"/>
        </w:rPr>
        <w:t xml:space="preserve"> (Nomura, 2016)</w:t>
      </w:r>
      <w:r w:rsidRPr="00763EBA">
        <w:rPr>
          <w:rFonts w:ascii="Times New Roman" w:hAnsi="Times New Roman" w:cs="Times New Roman"/>
          <w:color w:val="000000" w:themeColor="text1"/>
          <w:sz w:val="24"/>
          <w:szCs w:val="24"/>
        </w:rPr>
        <w:t xml:space="preserve">. Example of steroid medications that can be administered to patients with ITP includes glucocorticoids such as prednisolone, and dexamethasone, mineralocorticoids such as fludrocortisone, vitamin D, androgens such testosterone, oxandrolone, and Epiphone. </w:t>
      </w:r>
    </w:p>
    <w:p w:rsidR="00513085"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Intravenous gamma globulin (IVGG)- this is a protein that contains various antibodies that result in diminished platelet destruction</w:t>
      </w:r>
      <w:r w:rsidR="007067F9" w:rsidRPr="00763EBA">
        <w:rPr>
          <w:rFonts w:ascii="Times New Roman" w:hAnsi="Times New Roman" w:cs="Times New Roman"/>
          <w:color w:val="000000" w:themeColor="text1"/>
          <w:sz w:val="24"/>
          <w:szCs w:val="24"/>
        </w:rPr>
        <w:t xml:space="preserve"> (Nomura, 2016)</w:t>
      </w:r>
      <w:r w:rsidRPr="00763EBA">
        <w:rPr>
          <w:rFonts w:ascii="Times New Roman" w:hAnsi="Times New Roman" w:cs="Times New Roman"/>
          <w:color w:val="000000" w:themeColor="text1"/>
          <w:sz w:val="24"/>
          <w:szCs w:val="24"/>
        </w:rPr>
        <w:t xml:space="preserve">. IGG is more effective and works faster than steroids (within 24 hours). </w:t>
      </w:r>
    </w:p>
    <w:p w:rsidR="00B84DCA"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Rhesus immune globulin- is a medication that stops the destruction of platelets by the spleen temporarily. Rhesus positive individuals are the only group that benefits from this treatment. </w:t>
      </w:r>
    </w:p>
    <w:p w:rsidR="00B84DCA"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Treatment of infections- the presence of an infection that causes platelet destruction to have to be addressed using treatment via antibiotics. </w:t>
      </w:r>
    </w:p>
    <w:p w:rsidR="00B84DCA"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lastRenderedPageBreak/>
        <w:t>Splenectomy- the treatment involves the removal of the spleen since it is the active site for antibody mediated destruction of platelets</w:t>
      </w:r>
      <w:r w:rsidR="006D2F2F" w:rsidRPr="00763EBA">
        <w:rPr>
          <w:rFonts w:ascii="Times New Roman" w:hAnsi="Times New Roman" w:cs="Times New Roman"/>
          <w:color w:val="000000" w:themeColor="text1"/>
          <w:sz w:val="24"/>
          <w:szCs w:val="24"/>
        </w:rPr>
        <w:t xml:space="preserve"> (Nomura, 2016)</w:t>
      </w:r>
      <w:r w:rsidRPr="00763EBA">
        <w:rPr>
          <w:rFonts w:ascii="Times New Roman" w:hAnsi="Times New Roman" w:cs="Times New Roman"/>
          <w:color w:val="000000" w:themeColor="text1"/>
          <w:sz w:val="24"/>
          <w:szCs w:val="24"/>
        </w:rPr>
        <w:t xml:space="preserve">. It is an effective treatment option for people with chronic ITP to diminish the rate of platelet destruction. </w:t>
      </w:r>
    </w:p>
    <w:p w:rsidR="00B84DCA"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Eltrombopag (Promacta) and Romiplostim (N-plate)- these medications are approved for the treatment of ITP which does not respond to other forms of treatment. The medications stimulate the bone marrow to produce more platelets. </w:t>
      </w:r>
    </w:p>
    <w:p w:rsidR="00B84DCA" w:rsidRPr="00763EBA" w:rsidRDefault="00FC5E2B" w:rsidP="00763EBA">
      <w:pPr>
        <w:spacing w:after="0" w:line="480" w:lineRule="auto"/>
        <w:ind w:firstLine="851"/>
        <w:jc w:val="center"/>
        <w:rPr>
          <w:rFonts w:ascii="Times New Roman" w:hAnsi="Times New Roman" w:cs="Times New Roman"/>
          <w:b/>
          <w:bCs/>
          <w:color w:val="000000" w:themeColor="text1"/>
          <w:sz w:val="24"/>
          <w:szCs w:val="24"/>
        </w:rPr>
      </w:pPr>
      <w:r w:rsidRPr="00763EBA">
        <w:rPr>
          <w:rFonts w:ascii="Times New Roman" w:hAnsi="Times New Roman" w:cs="Times New Roman"/>
          <w:b/>
          <w:bCs/>
          <w:color w:val="000000" w:themeColor="text1"/>
          <w:sz w:val="24"/>
          <w:szCs w:val="24"/>
        </w:rPr>
        <w:t>Significance of the Case</w:t>
      </w:r>
    </w:p>
    <w:p w:rsidR="00B84DCA" w:rsidRPr="00763EBA" w:rsidRDefault="00FC5E2B" w:rsidP="00763EBA">
      <w:pPr>
        <w:spacing w:after="0" w:line="480" w:lineRule="auto"/>
        <w:ind w:firstLine="851"/>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t xml:space="preserve">The information provides, in this case, is significant in informing the practice of a master's prepared nurse in the treatment of ITP. ITP is not a common disease and this case presents it to enlighten the nurse of its prevalence and how the course of the disease occurs to enhance understanding of the management of patients with the condition. This information can be used by the master's prepared nurse to enhance the effective management of a patient who presents with thrombocytopenia. As part of the management, when a patient presents with symptoms such as bleeding and </w:t>
      </w:r>
      <w:r w:rsidR="007067F9" w:rsidRPr="00763EBA">
        <w:rPr>
          <w:rFonts w:ascii="Times New Roman" w:hAnsi="Times New Roman" w:cs="Times New Roman"/>
          <w:color w:val="000000" w:themeColor="text1"/>
          <w:sz w:val="24"/>
          <w:szCs w:val="24"/>
        </w:rPr>
        <w:t xml:space="preserve">thrombocytopenia, the nurse will be sure to take a step of evaluating the patient for ITP to enhance early diagnosis and treatment. The most significant information is the treatment options that are presented in the case. There are abroad options for the treatment which enhances effective management of the disease. The most challenging information is the presence of many pathological processes that influences the development of the disease. Therefore, evaluating a specific process is difficult in the diagnosis of the disease. </w:t>
      </w:r>
    </w:p>
    <w:p w:rsidR="00763EBA" w:rsidRDefault="00763EBA" w:rsidP="00763EBA">
      <w:pPr>
        <w:spacing w:after="0" w:line="480" w:lineRule="auto"/>
        <w:ind w:firstLine="851"/>
        <w:rPr>
          <w:rFonts w:ascii="Times New Roman" w:hAnsi="Times New Roman" w:cs="Times New Roman"/>
          <w:b/>
          <w:bCs/>
          <w:color w:val="000000" w:themeColor="text1"/>
          <w:sz w:val="24"/>
          <w:szCs w:val="24"/>
        </w:rPr>
      </w:pPr>
    </w:p>
    <w:p w:rsidR="00763EBA" w:rsidRDefault="00763EBA" w:rsidP="00763EBA">
      <w:pPr>
        <w:spacing w:after="0" w:line="480" w:lineRule="auto"/>
        <w:ind w:firstLine="851"/>
        <w:rPr>
          <w:rFonts w:ascii="Times New Roman" w:hAnsi="Times New Roman" w:cs="Times New Roman"/>
          <w:b/>
          <w:bCs/>
          <w:color w:val="000000" w:themeColor="text1"/>
          <w:sz w:val="24"/>
          <w:szCs w:val="24"/>
        </w:rPr>
      </w:pPr>
    </w:p>
    <w:p w:rsidR="00763EBA" w:rsidRDefault="00763EBA" w:rsidP="00763EBA">
      <w:pPr>
        <w:spacing w:after="0" w:line="480" w:lineRule="auto"/>
        <w:ind w:firstLine="851"/>
        <w:rPr>
          <w:rFonts w:ascii="Times New Roman" w:hAnsi="Times New Roman" w:cs="Times New Roman"/>
          <w:b/>
          <w:bCs/>
          <w:color w:val="000000" w:themeColor="text1"/>
          <w:sz w:val="24"/>
          <w:szCs w:val="24"/>
        </w:rPr>
      </w:pPr>
    </w:p>
    <w:p w:rsidR="00763EBA" w:rsidRDefault="00763EBA" w:rsidP="00763EBA">
      <w:pPr>
        <w:spacing w:after="0" w:line="480" w:lineRule="auto"/>
        <w:ind w:firstLine="851"/>
        <w:rPr>
          <w:rFonts w:ascii="Times New Roman" w:hAnsi="Times New Roman" w:cs="Times New Roman"/>
          <w:b/>
          <w:bCs/>
          <w:color w:val="000000" w:themeColor="text1"/>
          <w:sz w:val="24"/>
          <w:szCs w:val="24"/>
        </w:rPr>
      </w:pPr>
    </w:p>
    <w:p w:rsidR="00763EBA" w:rsidRDefault="00763EBA" w:rsidP="00763EBA">
      <w:pPr>
        <w:spacing w:after="0" w:line="480" w:lineRule="auto"/>
        <w:ind w:firstLine="851"/>
        <w:rPr>
          <w:rFonts w:ascii="Times New Roman" w:hAnsi="Times New Roman" w:cs="Times New Roman"/>
          <w:b/>
          <w:bCs/>
          <w:color w:val="000000" w:themeColor="text1"/>
          <w:sz w:val="24"/>
          <w:szCs w:val="24"/>
        </w:rPr>
      </w:pPr>
    </w:p>
    <w:p w:rsidR="00763EBA" w:rsidRPr="00763EBA" w:rsidRDefault="00FC5E2B" w:rsidP="00763EBA">
      <w:pPr>
        <w:spacing w:after="0" w:line="480" w:lineRule="auto"/>
        <w:ind w:firstLine="851"/>
        <w:jc w:val="center"/>
        <w:rPr>
          <w:rFonts w:ascii="Times New Roman" w:hAnsi="Times New Roman" w:cs="Times New Roman"/>
          <w:b/>
          <w:bCs/>
          <w:color w:val="000000" w:themeColor="text1"/>
          <w:sz w:val="24"/>
          <w:szCs w:val="24"/>
        </w:rPr>
      </w:pPr>
      <w:r w:rsidRPr="00763EBA">
        <w:rPr>
          <w:rFonts w:ascii="Times New Roman" w:hAnsi="Times New Roman" w:cs="Times New Roman"/>
          <w:b/>
          <w:bCs/>
          <w:color w:val="000000" w:themeColor="text1"/>
          <w:sz w:val="24"/>
          <w:szCs w:val="24"/>
        </w:rPr>
        <w:lastRenderedPageBreak/>
        <w:t>References</w:t>
      </w:r>
    </w:p>
    <w:p w:rsidR="00763EBA" w:rsidRPr="00763EBA" w:rsidRDefault="00FC5E2B" w:rsidP="00763EBA">
      <w:pPr>
        <w:spacing w:after="0" w:line="480" w:lineRule="auto"/>
        <w:ind w:left="851" w:hanging="851"/>
        <w:rPr>
          <w:rFonts w:ascii="Times New Roman" w:hAnsi="Times New Roman" w:cs="Times New Roman"/>
          <w:color w:val="000000" w:themeColor="text1"/>
          <w:sz w:val="24"/>
          <w:szCs w:val="24"/>
          <w:shd w:val="clear" w:color="auto" w:fill="FFFFFF"/>
        </w:rPr>
      </w:pPr>
      <w:r w:rsidRPr="00763EBA">
        <w:rPr>
          <w:rFonts w:ascii="Times New Roman" w:hAnsi="Times New Roman" w:cs="Times New Roman"/>
          <w:color w:val="000000" w:themeColor="text1"/>
          <w:sz w:val="24"/>
          <w:szCs w:val="24"/>
          <w:shd w:val="clear" w:color="auto" w:fill="FFFFFF"/>
        </w:rPr>
        <w:t>Nomura S. (2016). Advances in Diagnosis and Treatments for Immune Thrombocytopenia. </w:t>
      </w:r>
      <w:r w:rsidRPr="00763EBA">
        <w:rPr>
          <w:rFonts w:ascii="Times New Roman" w:hAnsi="Times New Roman" w:cs="Times New Roman"/>
          <w:i/>
          <w:iCs/>
          <w:color w:val="000000" w:themeColor="text1"/>
          <w:sz w:val="24"/>
          <w:szCs w:val="24"/>
          <w:shd w:val="clear" w:color="auto" w:fill="FFFFFF"/>
        </w:rPr>
        <w:t>Clinical medicine insights. Blood disorders</w:t>
      </w:r>
      <w:r w:rsidRPr="00763EBA">
        <w:rPr>
          <w:rFonts w:ascii="Times New Roman" w:hAnsi="Times New Roman" w:cs="Times New Roman"/>
          <w:color w:val="000000" w:themeColor="text1"/>
          <w:sz w:val="24"/>
          <w:szCs w:val="24"/>
          <w:shd w:val="clear" w:color="auto" w:fill="FFFFFF"/>
        </w:rPr>
        <w:t>, </w:t>
      </w:r>
      <w:r w:rsidRPr="00763EBA">
        <w:rPr>
          <w:rFonts w:ascii="Times New Roman" w:hAnsi="Times New Roman" w:cs="Times New Roman"/>
          <w:i/>
          <w:iCs/>
          <w:color w:val="000000" w:themeColor="text1"/>
          <w:sz w:val="24"/>
          <w:szCs w:val="24"/>
          <w:shd w:val="clear" w:color="auto" w:fill="FFFFFF"/>
        </w:rPr>
        <w:t>9</w:t>
      </w:r>
      <w:r w:rsidRPr="00763EBA">
        <w:rPr>
          <w:rFonts w:ascii="Times New Roman" w:hAnsi="Times New Roman" w:cs="Times New Roman"/>
          <w:color w:val="000000" w:themeColor="text1"/>
          <w:sz w:val="24"/>
          <w:szCs w:val="24"/>
          <w:shd w:val="clear" w:color="auto" w:fill="FFFFFF"/>
        </w:rPr>
        <w:t xml:space="preserve">, 15–22. </w:t>
      </w:r>
      <w:hyperlink r:id="rId6" w:history="1">
        <w:r w:rsidRPr="00763EBA">
          <w:rPr>
            <w:rStyle w:val="Hyperlink"/>
            <w:rFonts w:ascii="Times New Roman" w:hAnsi="Times New Roman" w:cs="Times New Roman"/>
            <w:color w:val="000000" w:themeColor="text1"/>
            <w:sz w:val="24"/>
            <w:szCs w:val="24"/>
            <w:u w:val="none"/>
            <w:shd w:val="clear" w:color="auto" w:fill="FFFFFF"/>
          </w:rPr>
          <w:t>https://doi.org/10.4137/CMBD.S39643</w:t>
        </w:r>
      </w:hyperlink>
    </w:p>
    <w:p w:rsidR="00763EBA" w:rsidRPr="00763EBA" w:rsidRDefault="00FC5E2B" w:rsidP="00763EBA">
      <w:pPr>
        <w:spacing w:after="0" w:line="480" w:lineRule="auto"/>
        <w:ind w:left="851" w:hanging="851"/>
        <w:rPr>
          <w:rFonts w:ascii="Times New Roman" w:hAnsi="Times New Roman" w:cs="Times New Roman"/>
          <w:color w:val="000000" w:themeColor="text1"/>
          <w:sz w:val="24"/>
          <w:szCs w:val="24"/>
          <w:shd w:val="clear" w:color="auto" w:fill="FFFFFF"/>
        </w:rPr>
      </w:pPr>
      <w:r w:rsidRPr="00763EBA">
        <w:rPr>
          <w:rFonts w:ascii="Times New Roman" w:hAnsi="Times New Roman" w:cs="Times New Roman"/>
          <w:color w:val="000000" w:themeColor="text1"/>
          <w:sz w:val="24"/>
          <w:szCs w:val="24"/>
          <w:shd w:val="clear" w:color="auto" w:fill="FFFFFF"/>
        </w:rPr>
        <w:t>Zainal, A., Salama, A., &amp; Alweis, R. (2019). Immune thrombocytopenic purpura. </w:t>
      </w:r>
      <w:r w:rsidRPr="00763EBA">
        <w:rPr>
          <w:rFonts w:ascii="Times New Roman" w:hAnsi="Times New Roman" w:cs="Times New Roman"/>
          <w:i/>
          <w:iCs/>
          <w:color w:val="000000" w:themeColor="text1"/>
          <w:sz w:val="24"/>
          <w:szCs w:val="24"/>
          <w:shd w:val="clear" w:color="auto" w:fill="FFFFFF"/>
        </w:rPr>
        <w:t>Journal of community hospital internal medicine perspectives</w:t>
      </w:r>
      <w:r w:rsidRPr="00763EBA">
        <w:rPr>
          <w:rFonts w:ascii="Times New Roman" w:hAnsi="Times New Roman" w:cs="Times New Roman"/>
          <w:color w:val="000000" w:themeColor="text1"/>
          <w:sz w:val="24"/>
          <w:szCs w:val="24"/>
          <w:shd w:val="clear" w:color="auto" w:fill="FFFFFF"/>
        </w:rPr>
        <w:t>, </w:t>
      </w:r>
      <w:r w:rsidRPr="00763EBA">
        <w:rPr>
          <w:rFonts w:ascii="Times New Roman" w:hAnsi="Times New Roman" w:cs="Times New Roman"/>
          <w:i/>
          <w:iCs/>
          <w:color w:val="000000" w:themeColor="text1"/>
          <w:sz w:val="24"/>
          <w:szCs w:val="24"/>
          <w:shd w:val="clear" w:color="auto" w:fill="FFFFFF"/>
        </w:rPr>
        <w:t>9</w:t>
      </w:r>
      <w:r w:rsidRPr="00763EBA">
        <w:rPr>
          <w:rFonts w:ascii="Times New Roman" w:hAnsi="Times New Roman" w:cs="Times New Roman"/>
          <w:color w:val="000000" w:themeColor="text1"/>
          <w:sz w:val="24"/>
          <w:szCs w:val="24"/>
          <w:shd w:val="clear" w:color="auto" w:fill="FFFFFF"/>
        </w:rPr>
        <w:t xml:space="preserve">(1), 59–61. </w:t>
      </w:r>
      <w:hyperlink r:id="rId7" w:history="1">
        <w:r w:rsidRPr="00763EBA">
          <w:rPr>
            <w:rStyle w:val="Hyperlink"/>
            <w:rFonts w:ascii="Times New Roman" w:hAnsi="Times New Roman" w:cs="Times New Roman"/>
            <w:color w:val="000000" w:themeColor="text1"/>
            <w:sz w:val="24"/>
            <w:szCs w:val="24"/>
            <w:u w:val="none"/>
            <w:shd w:val="clear" w:color="auto" w:fill="FFFFFF"/>
          </w:rPr>
          <w:t>https://doi.org/10.1080/20009666.2019.1565884</w:t>
        </w:r>
      </w:hyperlink>
    </w:p>
    <w:p w:rsidR="00763EBA" w:rsidRPr="00763EBA" w:rsidRDefault="00FC5E2B" w:rsidP="00763EBA">
      <w:pPr>
        <w:spacing w:after="0" w:line="480" w:lineRule="auto"/>
        <w:ind w:left="851" w:hanging="851"/>
        <w:rPr>
          <w:rFonts w:ascii="Times New Roman" w:hAnsi="Times New Roman" w:cs="Times New Roman"/>
          <w:b/>
          <w:bCs/>
          <w:color w:val="000000" w:themeColor="text1"/>
          <w:sz w:val="24"/>
          <w:szCs w:val="24"/>
        </w:rPr>
      </w:pPr>
      <w:r w:rsidRPr="00763EBA">
        <w:rPr>
          <w:rFonts w:ascii="Times New Roman" w:hAnsi="Times New Roman" w:cs="Times New Roman"/>
          <w:color w:val="000000" w:themeColor="text1"/>
          <w:sz w:val="24"/>
          <w:szCs w:val="24"/>
          <w:shd w:val="clear" w:color="auto" w:fill="FFFFFF"/>
        </w:rPr>
        <w:t>Zufferey, A., Kapur, R., &amp; Semple, J. W. (2017). Pathogenesis and Therapeutic Mechanisms in Immune Thrombocytopenia (ITP). </w:t>
      </w:r>
      <w:r w:rsidRPr="00763EBA">
        <w:rPr>
          <w:rFonts w:ascii="Times New Roman" w:hAnsi="Times New Roman" w:cs="Times New Roman"/>
          <w:i/>
          <w:iCs/>
          <w:color w:val="000000" w:themeColor="text1"/>
          <w:sz w:val="24"/>
          <w:szCs w:val="24"/>
          <w:shd w:val="clear" w:color="auto" w:fill="FFFFFF"/>
        </w:rPr>
        <w:t>Journal of clinical medicine</w:t>
      </w:r>
      <w:r w:rsidRPr="00763EBA">
        <w:rPr>
          <w:rFonts w:ascii="Times New Roman" w:hAnsi="Times New Roman" w:cs="Times New Roman"/>
          <w:color w:val="000000" w:themeColor="text1"/>
          <w:sz w:val="24"/>
          <w:szCs w:val="24"/>
          <w:shd w:val="clear" w:color="auto" w:fill="FFFFFF"/>
        </w:rPr>
        <w:t>, </w:t>
      </w:r>
      <w:r w:rsidRPr="00763EBA">
        <w:rPr>
          <w:rFonts w:ascii="Times New Roman" w:hAnsi="Times New Roman" w:cs="Times New Roman"/>
          <w:i/>
          <w:iCs/>
          <w:color w:val="000000" w:themeColor="text1"/>
          <w:sz w:val="24"/>
          <w:szCs w:val="24"/>
          <w:shd w:val="clear" w:color="auto" w:fill="FFFFFF"/>
        </w:rPr>
        <w:t>6</w:t>
      </w:r>
      <w:r w:rsidRPr="00763EBA">
        <w:rPr>
          <w:rFonts w:ascii="Times New Roman" w:hAnsi="Times New Roman" w:cs="Times New Roman"/>
          <w:color w:val="000000" w:themeColor="text1"/>
          <w:sz w:val="24"/>
          <w:szCs w:val="24"/>
          <w:shd w:val="clear" w:color="auto" w:fill="FFFFFF"/>
        </w:rPr>
        <w:t>(2), 16. https://doi.org/10.3390/jcm6020016</w:t>
      </w:r>
    </w:p>
    <w:p w:rsidR="00CC59CF" w:rsidRPr="00763EBA" w:rsidRDefault="00CC59CF" w:rsidP="00763EBA">
      <w:pPr>
        <w:spacing w:after="0" w:line="480" w:lineRule="auto"/>
        <w:ind w:firstLine="851"/>
        <w:rPr>
          <w:rFonts w:ascii="Times New Roman" w:hAnsi="Times New Roman" w:cs="Times New Roman"/>
          <w:color w:val="000000" w:themeColor="text1"/>
          <w:sz w:val="24"/>
          <w:szCs w:val="24"/>
        </w:rPr>
      </w:pPr>
    </w:p>
    <w:sectPr w:rsidR="00CC59CF" w:rsidRPr="00763EBA" w:rsidSect="00C83528">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1E9C" w:rsidRDefault="00E71E9C" w:rsidP="00C83528">
      <w:pPr>
        <w:spacing w:after="0" w:line="240" w:lineRule="auto"/>
      </w:pPr>
      <w:r>
        <w:separator/>
      </w:r>
    </w:p>
  </w:endnote>
  <w:endnote w:type="continuationSeparator" w:id="1">
    <w:p w:rsidR="00E71E9C" w:rsidRDefault="00E71E9C" w:rsidP="00C835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1E9C" w:rsidRDefault="00E71E9C" w:rsidP="00C83528">
      <w:pPr>
        <w:spacing w:after="0" w:line="240" w:lineRule="auto"/>
      </w:pPr>
      <w:r>
        <w:separator/>
      </w:r>
    </w:p>
  </w:footnote>
  <w:footnote w:type="continuationSeparator" w:id="1">
    <w:p w:rsidR="00E71E9C" w:rsidRDefault="00E71E9C" w:rsidP="00C835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7402800"/>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763EBA" w:rsidRPr="00763EBA" w:rsidRDefault="00626D9E">
        <w:pPr>
          <w:pStyle w:val="Header"/>
          <w:jc w:val="right"/>
          <w:rPr>
            <w:rFonts w:ascii="Times New Roman" w:hAnsi="Times New Roman" w:cs="Times New Roman"/>
            <w:color w:val="000000" w:themeColor="text1"/>
            <w:sz w:val="24"/>
            <w:szCs w:val="24"/>
          </w:rPr>
        </w:pPr>
        <w:r w:rsidRPr="00763EBA">
          <w:rPr>
            <w:rFonts w:ascii="Times New Roman" w:hAnsi="Times New Roman" w:cs="Times New Roman"/>
            <w:color w:val="000000" w:themeColor="text1"/>
            <w:sz w:val="24"/>
            <w:szCs w:val="24"/>
          </w:rPr>
          <w:fldChar w:fldCharType="begin"/>
        </w:r>
        <w:r w:rsidR="00FC5E2B" w:rsidRPr="00763EBA">
          <w:rPr>
            <w:rFonts w:ascii="Times New Roman" w:hAnsi="Times New Roman" w:cs="Times New Roman"/>
            <w:color w:val="000000" w:themeColor="text1"/>
            <w:sz w:val="24"/>
            <w:szCs w:val="24"/>
          </w:rPr>
          <w:instrText xml:space="preserve"> PAGE   \* MERGEFORMAT </w:instrText>
        </w:r>
        <w:r w:rsidRPr="00763EBA">
          <w:rPr>
            <w:rFonts w:ascii="Times New Roman" w:hAnsi="Times New Roman" w:cs="Times New Roman"/>
            <w:color w:val="000000" w:themeColor="text1"/>
            <w:sz w:val="24"/>
            <w:szCs w:val="24"/>
          </w:rPr>
          <w:fldChar w:fldCharType="separate"/>
        </w:r>
        <w:r w:rsidR="00152768">
          <w:rPr>
            <w:rFonts w:ascii="Times New Roman" w:hAnsi="Times New Roman" w:cs="Times New Roman"/>
            <w:noProof/>
            <w:color w:val="000000" w:themeColor="text1"/>
            <w:sz w:val="24"/>
            <w:szCs w:val="24"/>
          </w:rPr>
          <w:t>6</w:t>
        </w:r>
        <w:r w:rsidRPr="00763EBA">
          <w:rPr>
            <w:rFonts w:ascii="Times New Roman" w:hAnsi="Times New Roman" w:cs="Times New Roman"/>
            <w:noProof/>
            <w:color w:val="000000" w:themeColor="text1"/>
            <w:sz w:val="24"/>
            <w:szCs w:val="24"/>
          </w:rPr>
          <w:fldChar w:fldCharType="end"/>
        </w:r>
      </w:p>
    </w:sdtContent>
  </w:sdt>
  <w:p w:rsidR="00763EBA" w:rsidRDefault="00763E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65337"/>
    <w:rsid w:val="00082A8A"/>
    <w:rsid w:val="00083F02"/>
    <w:rsid w:val="00152768"/>
    <w:rsid w:val="0020205B"/>
    <w:rsid w:val="002B343E"/>
    <w:rsid w:val="00330CC1"/>
    <w:rsid w:val="00332A04"/>
    <w:rsid w:val="0041501B"/>
    <w:rsid w:val="00513085"/>
    <w:rsid w:val="00553FEE"/>
    <w:rsid w:val="00626D9E"/>
    <w:rsid w:val="006D2F2F"/>
    <w:rsid w:val="007067F9"/>
    <w:rsid w:val="00763EBA"/>
    <w:rsid w:val="00901B98"/>
    <w:rsid w:val="00952EC9"/>
    <w:rsid w:val="009D5C5F"/>
    <w:rsid w:val="00B84DCA"/>
    <w:rsid w:val="00B87031"/>
    <w:rsid w:val="00C42F8B"/>
    <w:rsid w:val="00C83528"/>
    <w:rsid w:val="00CC59CF"/>
    <w:rsid w:val="00DF13C0"/>
    <w:rsid w:val="00E02B84"/>
    <w:rsid w:val="00E65337"/>
    <w:rsid w:val="00E71E9C"/>
    <w:rsid w:val="00FC5E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5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3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337"/>
  </w:style>
  <w:style w:type="paragraph" w:styleId="Footer">
    <w:name w:val="footer"/>
    <w:basedOn w:val="Normal"/>
    <w:link w:val="FooterChar"/>
    <w:uiPriority w:val="99"/>
    <w:unhideWhenUsed/>
    <w:rsid w:val="00E653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337"/>
  </w:style>
  <w:style w:type="character" w:styleId="Hyperlink">
    <w:name w:val="Hyperlink"/>
    <w:basedOn w:val="DefaultParagraphFont"/>
    <w:uiPriority w:val="99"/>
    <w:unhideWhenUsed/>
    <w:rsid w:val="006D2F2F"/>
    <w:rPr>
      <w:color w:val="0563C1" w:themeColor="hyperlink"/>
      <w:u w:val="single"/>
    </w:rPr>
  </w:style>
  <w:style w:type="character" w:customStyle="1" w:styleId="UnresolvedMention">
    <w:name w:val="Unresolved Mention"/>
    <w:basedOn w:val="DefaultParagraphFont"/>
    <w:uiPriority w:val="99"/>
    <w:semiHidden/>
    <w:unhideWhenUsed/>
    <w:rsid w:val="006D2F2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80/20009666.2019.156588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137/CMBD.S3964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2021-01-21T07:08:00Z</dcterms:created>
  <dcterms:modified xsi:type="dcterms:W3CDTF">2021-01-21T07:10:00Z</dcterms:modified>
</cp:coreProperties>
</file>